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DDBC" w14:textId="77777777" w:rsidR="00D94296" w:rsidRDefault="00000000">
      <w:pPr>
        <w:spacing w:line="240" w:lineRule="auto"/>
        <w:jc w:val="center"/>
        <w:rPr>
          <w:rFonts w:ascii="Calibri" w:eastAsia="Calibri" w:hAnsi="Calibri" w:cs="Calibri"/>
        </w:rPr>
      </w:pPr>
      <w:r>
        <w:rPr>
          <w:rFonts w:ascii="Calibri" w:eastAsia="Calibri" w:hAnsi="Calibri" w:cs="Calibri"/>
          <w:noProof/>
        </w:rPr>
        <w:drawing>
          <wp:inline distT="114300" distB="114300" distL="114300" distR="114300" wp14:anchorId="651EE760" wp14:editId="6D9F3BCB">
            <wp:extent cx="1117117" cy="3952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9455" t="23931" r="8653" b="24786"/>
                    <a:stretch>
                      <a:fillRect/>
                    </a:stretch>
                  </pic:blipFill>
                  <pic:spPr>
                    <a:xfrm>
                      <a:off x="0" y="0"/>
                      <a:ext cx="1117117" cy="395288"/>
                    </a:xfrm>
                    <a:prstGeom prst="rect">
                      <a:avLst/>
                    </a:prstGeom>
                    <a:ln/>
                  </pic:spPr>
                </pic:pic>
              </a:graphicData>
            </a:graphic>
          </wp:inline>
        </w:drawing>
      </w:r>
      <w:r>
        <w:rPr>
          <w:rFonts w:ascii="Calibri" w:eastAsia="Calibri" w:hAnsi="Calibri" w:cs="Calibri"/>
          <w:noProof/>
        </w:rPr>
        <w:drawing>
          <wp:inline distT="114300" distB="114300" distL="114300" distR="114300" wp14:anchorId="10C5C67F" wp14:editId="0E5CB142">
            <wp:extent cx="1626317" cy="3190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11475" b="14754"/>
                    <a:stretch>
                      <a:fillRect/>
                    </a:stretch>
                  </pic:blipFill>
                  <pic:spPr>
                    <a:xfrm>
                      <a:off x="0" y="0"/>
                      <a:ext cx="1626317" cy="319088"/>
                    </a:xfrm>
                    <a:prstGeom prst="rect">
                      <a:avLst/>
                    </a:prstGeom>
                    <a:ln/>
                  </pic:spPr>
                </pic:pic>
              </a:graphicData>
            </a:graphic>
          </wp:inline>
        </w:drawing>
      </w:r>
      <w:r>
        <w:rPr>
          <w:rFonts w:ascii="Calibri" w:eastAsia="Calibri" w:hAnsi="Calibri" w:cs="Calibri"/>
          <w:noProof/>
        </w:rPr>
        <w:drawing>
          <wp:inline distT="114300" distB="114300" distL="114300" distR="114300" wp14:anchorId="1508F085" wp14:editId="12FFD2FE">
            <wp:extent cx="1249482" cy="4905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8641" t="22222" r="8024" b="18888"/>
                    <a:stretch>
                      <a:fillRect/>
                    </a:stretch>
                  </pic:blipFill>
                  <pic:spPr>
                    <a:xfrm>
                      <a:off x="0" y="0"/>
                      <a:ext cx="1249482" cy="490538"/>
                    </a:xfrm>
                    <a:prstGeom prst="rect">
                      <a:avLst/>
                    </a:prstGeom>
                    <a:ln/>
                  </pic:spPr>
                </pic:pic>
              </a:graphicData>
            </a:graphic>
          </wp:inline>
        </w:drawing>
      </w:r>
      <w:r>
        <w:rPr>
          <w:rFonts w:ascii="Calibri" w:eastAsia="Calibri" w:hAnsi="Calibri" w:cs="Calibri"/>
          <w:noProof/>
        </w:rPr>
        <w:drawing>
          <wp:inline distT="114300" distB="114300" distL="114300" distR="114300" wp14:anchorId="7B4E2858" wp14:editId="006EC284">
            <wp:extent cx="1547813" cy="43447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487" t="24242" r="2985" b="21212"/>
                    <a:stretch>
                      <a:fillRect/>
                    </a:stretch>
                  </pic:blipFill>
                  <pic:spPr>
                    <a:xfrm>
                      <a:off x="0" y="0"/>
                      <a:ext cx="1547813" cy="434474"/>
                    </a:xfrm>
                    <a:prstGeom prst="rect">
                      <a:avLst/>
                    </a:prstGeom>
                    <a:ln/>
                  </pic:spPr>
                </pic:pic>
              </a:graphicData>
            </a:graphic>
          </wp:inline>
        </w:drawing>
      </w:r>
    </w:p>
    <w:p w14:paraId="54FD4731" w14:textId="77777777" w:rsidR="00D94296" w:rsidRDefault="00D94296">
      <w:pPr>
        <w:spacing w:line="240" w:lineRule="auto"/>
        <w:rPr>
          <w:rFonts w:ascii="Calibri" w:eastAsia="Calibri" w:hAnsi="Calibri" w:cs="Calibri"/>
          <w:highlight w:val="yellow"/>
        </w:rPr>
      </w:pPr>
    </w:p>
    <w:p w14:paraId="72A8DF79" w14:textId="77777777" w:rsidR="007A75FA" w:rsidRDefault="007A75FA">
      <w:pPr>
        <w:spacing w:line="240" w:lineRule="auto"/>
        <w:rPr>
          <w:rFonts w:ascii="Calibri" w:eastAsia="Calibri" w:hAnsi="Calibri" w:cs="Calibri"/>
        </w:rPr>
      </w:pPr>
    </w:p>
    <w:p w14:paraId="13A11119" w14:textId="52787838" w:rsidR="00D94296" w:rsidRDefault="00000000">
      <w:pPr>
        <w:spacing w:line="240" w:lineRule="auto"/>
        <w:rPr>
          <w:rFonts w:ascii="Calibri" w:eastAsia="Calibri" w:hAnsi="Calibri" w:cs="Calibri"/>
        </w:rPr>
      </w:pPr>
      <w:r>
        <w:rPr>
          <w:rFonts w:ascii="Calibri" w:eastAsia="Calibri" w:hAnsi="Calibri" w:cs="Calibri"/>
        </w:rPr>
        <w:t>March 19, 2025</w:t>
      </w:r>
    </w:p>
    <w:p w14:paraId="2519ADF2" w14:textId="77777777" w:rsidR="00D94296" w:rsidRDefault="00000000">
      <w:pPr>
        <w:spacing w:line="240" w:lineRule="auto"/>
        <w:rPr>
          <w:rFonts w:ascii="Calibri" w:eastAsia="Calibri" w:hAnsi="Calibri" w:cs="Calibri"/>
        </w:rPr>
      </w:pPr>
      <w:r>
        <w:rPr>
          <w:rFonts w:ascii="Calibri" w:eastAsia="Calibri" w:hAnsi="Calibri" w:cs="Calibri"/>
        </w:rPr>
        <w:t xml:space="preserve"> </w:t>
      </w:r>
    </w:p>
    <w:p w14:paraId="6532E9CA" w14:textId="5081FBA9" w:rsidR="00D94296" w:rsidRDefault="00000000">
      <w:pPr>
        <w:spacing w:line="240" w:lineRule="auto"/>
        <w:rPr>
          <w:rFonts w:ascii="Calibri" w:eastAsia="Calibri" w:hAnsi="Calibri" w:cs="Calibri"/>
        </w:rPr>
      </w:pPr>
      <w:r>
        <w:rPr>
          <w:rFonts w:ascii="Calibri" w:eastAsia="Calibri" w:hAnsi="Calibri" w:cs="Calibri"/>
        </w:rPr>
        <w:t>Assemblymember Sharon Quirk-Silva</w:t>
      </w:r>
    </w:p>
    <w:p w14:paraId="6D3FD228" w14:textId="77777777" w:rsidR="00D94296" w:rsidRDefault="00000000">
      <w:pPr>
        <w:spacing w:line="240" w:lineRule="auto"/>
        <w:rPr>
          <w:rFonts w:ascii="Calibri" w:eastAsia="Calibri" w:hAnsi="Calibri" w:cs="Calibri"/>
        </w:rPr>
      </w:pPr>
      <w:r>
        <w:rPr>
          <w:rFonts w:ascii="Calibri" w:eastAsia="Calibri" w:hAnsi="Calibri" w:cs="Calibri"/>
        </w:rPr>
        <w:t>1021 O Street, Room 4110</w:t>
      </w:r>
    </w:p>
    <w:p w14:paraId="446E3853" w14:textId="77777777" w:rsidR="00D94296" w:rsidRDefault="00000000">
      <w:pPr>
        <w:spacing w:line="240" w:lineRule="auto"/>
        <w:rPr>
          <w:rFonts w:ascii="Calibri" w:eastAsia="Calibri" w:hAnsi="Calibri" w:cs="Calibri"/>
        </w:rPr>
      </w:pPr>
      <w:r>
        <w:rPr>
          <w:rFonts w:ascii="Calibri" w:eastAsia="Calibri" w:hAnsi="Calibri" w:cs="Calibri"/>
        </w:rPr>
        <w:t>Sacramento, CA 95814</w:t>
      </w:r>
    </w:p>
    <w:p w14:paraId="5373A24A" w14:textId="77777777" w:rsidR="00D94296" w:rsidRDefault="00000000">
      <w:pPr>
        <w:spacing w:line="240" w:lineRule="auto"/>
        <w:rPr>
          <w:rFonts w:ascii="Calibri" w:eastAsia="Calibri" w:hAnsi="Calibri" w:cs="Calibri"/>
        </w:rPr>
      </w:pPr>
      <w:r>
        <w:rPr>
          <w:rFonts w:ascii="Calibri" w:eastAsia="Calibri" w:hAnsi="Calibri" w:cs="Calibri"/>
        </w:rPr>
        <w:t xml:space="preserve"> </w:t>
      </w:r>
    </w:p>
    <w:p w14:paraId="1625DE6E" w14:textId="77777777" w:rsidR="00D94296" w:rsidRDefault="00000000">
      <w:pPr>
        <w:spacing w:line="240" w:lineRule="auto"/>
        <w:rPr>
          <w:rFonts w:ascii="Calibri" w:eastAsia="Calibri" w:hAnsi="Calibri" w:cs="Calibri"/>
          <w:b/>
        </w:rPr>
      </w:pPr>
      <w:r>
        <w:rPr>
          <w:rFonts w:ascii="Calibri" w:eastAsia="Calibri" w:hAnsi="Calibri" w:cs="Calibri"/>
          <w:b/>
        </w:rPr>
        <w:t xml:space="preserve">Re: AB 670  - SUPPORT </w:t>
      </w:r>
    </w:p>
    <w:p w14:paraId="45D2EADE" w14:textId="77777777" w:rsidR="00D94296" w:rsidRDefault="00000000">
      <w:pPr>
        <w:spacing w:line="240" w:lineRule="auto"/>
        <w:rPr>
          <w:rFonts w:ascii="Calibri" w:eastAsia="Calibri" w:hAnsi="Calibri" w:cs="Calibri"/>
          <w:b/>
        </w:rPr>
      </w:pPr>
      <w:r>
        <w:rPr>
          <w:rFonts w:ascii="Calibri" w:eastAsia="Calibri" w:hAnsi="Calibri" w:cs="Calibri"/>
          <w:b/>
        </w:rPr>
        <w:t xml:space="preserve"> </w:t>
      </w:r>
    </w:p>
    <w:p w14:paraId="4789165F" w14:textId="7F0A6EDF" w:rsidR="00D94296" w:rsidRDefault="00000000">
      <w:pPr>
        <w:spacing w:line="240" w:lineRule="auto"/>
        <w:rPr>
          <w:rFonts w:ascii="Calibri" w:eastAsia="Calibri" w:hAnsi="Calibri" w:cs="Calibri"/>
        </w:rPr>
      </w:pPr>
      <w:r>
        <w:rPr>
          <w:rFonts w:ascii="Calibri" w:eastAsia="Calibri" w:hAnsi="Calibri" w:cs="Calibri"/>
        </w:rPr>
        <w:t>Dear Assemblymember Quirk-Silva,</w:t>
      </w:r>
    </w:p>
    <w:p w14:paraId="712C1E8A" w14:textId="77777777" w:rsidR="00D94296" w:rsidRDefault="00D94296">
      <w:pPr>
        <w:spacing w:line="240" w:lineRule="auto"/>
        <w:rPr>
          <w:rFonts w:ascii="Calibri" w:eastAsia="Calibri" w:hAnsi="Calibri" w:cs="Calibri"/>
        </w:rPr>
      </w:pPr>
    </w:p>
    <w:p w14:paraId="449C80C7" w14:textId="1676DC94" w:rsidR="00D94296" w:rsidRDefault="00000000">
      <w:pPr>
        <w:spacing w:line="240" w:lineRule="auto"/>
        <w:rPr>
          <w:rFonts w:ascii="Calibri" w:eastAsia="Calibri" w:hAnsi="Calibri" w:cs="Calibri"/>
          <w:highlight w:val="yellow"/>
        </w:rPr>
      </w:pPr>
      <w:r>
        <w:rPr>
          <w:rFonts w:ascii="Calibri" w:eastAsia="Calibri" w:hAnsi="Calibri" w:cs="Calibri"/>
        </w:rPr>
        <w:t>As co-sponsors, Enterprise Community Partners, the Public Interest Law Project, the Association of Bay Area Governments, and the Metropolitan Transportation Commission write to express our strong support for</w:t>
      </w:r>
      <w:r w:rsidR="007A75FA">
        <w:rPr>
          <w:rFonts w:ascii="Calibri" w:eastAsia="Calibri" w:hAnsi="Calibri" w:cs="Calibri"/>
        </w:rPr>
        <w:t xml:space="preserve"> your </w:t>
      </w:r>
      <w:r>
        <w:rPr>
          <w:rFonts w:ascii="Calibri" w:eastAsia="Calibri" w:hAnsi="Calibri" w:cs="Calibri"/>
        </w:rPr>
        <w:t xml:space="preserve">AB 670, which will </w:t>
      </w:r>
      <w:r w:rsidR="004B6D2E">
        <w:rPr>
          <w:rFonts w:ascii="Calibri" w:eastAsia="Calibri" w:hAnsi="Calibri" w:cs="Calibri"/>
        </w:rPr>
        <w:t>a</w:t>
      </w:r>
      <w:r>
        <w:rPr>
          <w:rFonts w:ascii="Calibri" w:eastAsia="Calibri" w:hAnsi="Calibri" w:cs="Calibri"/>
        </w:rPr>
        <w:t xml:space="preserve">mend Housing Element Annual Progress Report (APR) requirements by expanding the ability of local governments to claim credit on their APRs for projects that convert existing unsubsidized units to deed-restricted affordable housing, requiring comprehensive reporting on the demolition of housing units, and requiring reporting to demonstrate compliance with replacement housing and relocation assistance obligations.  These changes will help to foster the preservation of affordable housing, including unsubsidized affordable housing, and to minimize displacement. </w:t>
      </w:r>
    </w:p>
    <w:p w14:paraId="43053AAB" w14:textId="77777777" w:rsidR="00D94296" w:rsidRDefault="00D94296">
      <w:pPr>
        <w:spacing w:line="240" w:lineRule="auto"/>
        <w:rPr>
          <w:rFonts w:ascii="Calibri" w:eastAsia="Calibri" w:hAnsi="Calibri" w:cs="Calibri"/>
        </w:rPr>
      </w:pPr>
    </w:p>
    <w:p w14:paraId="3AA88CEF" w14:textId="77777777" w:rsidR="00D94296" w:rsidRDefault="00000000">
      <w:pPr>
        <w:spacing w:line="240" w:lineRule="auto"/>
        <w:rPr>
          <w:rFonts w:ascii="Calibri" w:eastAsia="Calibri" w:hAnsi="Calibri" w:cs="Calibri"/>
        </w:rPr>
      </w:pPr>
      <w:r>
        <w:rPr>
          <w:rFonts w:ascii="Calibri" w:eastAsia="Calibri" w:hAnsi="Calibri" w:cs="Calibri"/>
        </w:rPr>
        <w:t xml:space="preserve">Most low-income renters in California live in market-rate housing. In some cases, older multifamily buildings offer rents that are affordable to low-income households. These unsubsidized affordable properties, sometimes referred to as naturally occurring affordable housing (NOAH), are increasingly threatened as private equity firms and other corporate entities continue to purchase them, raising rents significantly and displacing existing low-income tenants or demolishing them to make way for more profitable uses. According to a study by California Housing Partnership, about 222,190 unsubsidized affordable homes are at risk of losing their affordability in the near term across the state. California already has a critical shortage of housing affordable to lower-income </w:t>
      </w:r>
      <w:proofErr w:type="gramStart"/>
      <w:r>
        <w:rPr>
          <w:rFonts w:ascii="Calibri" w:eastAsia="Calibri" w:hAnsi="Calibri" w:cs="Calibri"/>
        </w:rPr>
        <w:t>households</w:t>
      </w:r>
      <w:proofErr w:type="gramEnd"/>
      <w:r>
        <w:rPr>
          <w:rFonts w:ascii="Calibri" w:eastAsia="Calibri" w:hAnsi="Calibri" w:cs="Calibri"/>
        </w:rPr>
        <w:t xml:space="preserve"> and the continued loss of NOAH is further exacerbating the problem. </w:t>
      </w:r>
    </w:p>
    <w:p w14:paraId="6F338C5B" w14:textId="77777777" w:rsidR="00D94296" w:rsidRDefault="00D94296">
      <w:pPr>
        <w:spacing w:line="240" w:lineRule="auto"/>
        <w:rPr>
          <w:rFonts w:ascii="Calibri" w:eastAsia="Calibri" w:hAnsi="Calibri" w:cs="Calibri"/>
        </w:rPr>
      </w:pPr>
    </w:p>
    <w:p w14:paraId="279C6F9A" w14:textId="77777777" w:rsidR="00D94296" w:rsidRDefault="00000000">
      <w:pPr>
        <w:spacing w:line="240" w:lineRule="auto"/>
        <w:rPr>
          <w:rFonts w:ascii="Calibri" w:eastAsia="Calibri" w:hAnsi="Calibri" w:cs="Calibri"/>
        </w:rPr>
      </w:pPr>
      <w:r>
        <w:rPr>
          <w:rFonts w:ascii="Calibri" w:eastAsia="Calibri" w:hAnsi="Calibri" w:cs="Calibri"/>
        </w:rPr>
        <w:t xml:space="preserve">Acquisition and preservation of unsubsidized affordable housing is a proven successful model to prevent displacement and homelessness and to grow the supply of stable affordable housing. Moreover, acquisition and preservation create new affordable homes immediately since the buildings already exist. However, funding for preservation is very limited and the state currently does not fund these types of acquisitions. Because local governments are mostly limited to reporting new construction on their APRs to show progress in meeting their lower-income share of the Regional Housing Needs Allocation (RHNA), they are disincentivized from using their limited funds to support NOAH preservation. </w:t>
      </w:r>
    </w:p>
    <w:p w14:paraId="37723A0B" w14:textId="77777777" w:rsidR="00D94296" w:rsidRDefault="00D94296">
      <w:pPr>
        <w:spacing w:line="240" w:lineRule="auto"/>
        <w:rPr>
          <w:rFonts w:ascii="Calibri" w:eastAsia="Calibri" w:hAnsi="Calibri" w:cs="Calibri"/>
        </w:rPr>
      </w:pPr>
    </w:p>
    <w:p w14:paraId="34297C55" w14:textId="77777777" w:rsidR="00D94296" w:rsidRDefault="00000000">
      <w:pPr>
        <w:spacing w:line="240" w:lineRule="auto"/>
        <w:rPr>
          <w:rFonts w:ascii="Calibri" w:eastAsia="Calibri" w:hAnsi="Calibri" w:cs="Calibri"/>
        </w:rPr>
      </w:pPr>
      <w:r>
        <w:rPr>
          <w:rFonts w:ascii="Calibri" w:eastAsia="Calibri" w:hAnsi="Calibri" w:cs="Calibri"/>
        </w:rPr>
        <w:t xml:space="preserve">The existing Housing Element APR framework requires reporting on newly permitted, entitled, and constructed housing units. It also allows jurisdictions to claim credit for projects that preserve or convert existing housing in extremely limited circumstances; credit is only available for units converted from market-rate to affordable where the jurisdiction can demonstrate that the units were </w:t>
      </w:r>
      <w:r>
        <w:rPr>
          <w:rFonts w:ascii="Calibri" w:eastAsia="Calibri" w:hAnsi="Calibri" w:cs="Calibri"/>
          <w:i/>
        </w:rPr>
        <w:t>unaffordable</w:t>
      </w:r>
      <w:r>
        <w:rPr>
          <w:rFonts w:ascii="Calibri" w:eastAsia="Calibri" w:hAnsi="Calibri" w:cs="Calibri"/>
        </w:rPr>
        <w:t xml:space="preserve"> prior to the conversion. AB 670 will allow local governments to also report projects that preserve NOAH for the long term by converting existing unsubsidized </w:t>
      </w:r>
      <w:r>
        <w:rPr>
          <w:rFonts w:ascii="Calibri" w:eastAsia="Calibri" w:hAnsi="Calibri" w:cs="Calibri"/>
          <w:i/>
        </w:rPr>
        <w:t xml:space="preserve">affordable </w:t>
      </w:r>
      <w:r>
        <w:rPr>
          <w:rFonts w:ascii="Calibri" w:eastAsia="Calibri" w:hAnsi="Calibri" w:cs="Calibri"/>
        </w:rPr>
        <w:t xml:space="preserve">housing to deed-restricted affordable </w:t>
      </w:r>
      <w:r>
        <w:rPr>
          <w:rFonts w:ascii="Calibri" w:eastAsia="Calibri" w:hAnsi="Calibri" w:cs="Calibri"/>
        </w:rPr>
        <w:lastRenderedPageBreak/>
        <w:t xml:space="preserve">housing.  Jurisdictions will be able to claim credit for up to 25% of their RHNA share in the relevant income category for these types of conversions. To qualify, the preserved units must meet certain requirements to ensure long-term affordability and no displacement of existing tenants. This would help incentivize local governments to support these types of projects, as well as promote a better understanding of where and how these projects are happening. </w:t>
      </w:r>
    </w:p>
    <w:p w14:paraId="36939588" w14:textId="77777777" w:rsidR="00D94296" w:rsidRDefault="00D94296">
      <w:pPr>
        <w:spacing w:line="240" w:lineRule="auto"/>
        <w:rPr>
          <w:rFonts w:ascii="Calibri" w:eastAsia="Calibri" w:hAnsi="Calibri" w:cs="Calibri"/>
        </w:rPr>
      </w:pPr>
    </w:p>
    <w:p w14:paraId="56DC5547" w14:textId="77777777" w:rsidR="00D94296" w:rsidRDefault="00000000">
      <w:pPr>
        <w:spacing w:line="240" w:lineRule="auto"/>
        <w:rPr>
          <w:rFonts w:ascii="Calibri" w:eastAsia="Calibri" w:hAnsi="Calibri" w:cs="Calibri"/>
        </w:rPr>
      </w:pPr>
      <w:r>
        <w:rPr>
          <w:rFonts w:ascii="Calibri" w:eastAsia="Calibri" w:hAnsi="Calibri" w:cs="Calibri"/>
        </w:rPr>
        <w:t xml:space="preserve">Separately, Housing Element Law, Density Bonus Law, and the Housing Crisis Act require the replacement of housing demolished on a development project site within the last five years that had been deed-restricted affordable units, occupied by lower-income tenants, or rent- or price-controlled. In most cases, the replacement units must be deed-restricted affordable units. These replacement housing requirements complement the acquisition and preservation model in that NOAH units are replaced with units with long-term affordability restrictions. The Housing Crisis Act additionally requires developers to pay significant relocation assistance to lower-income tenants directly displaced by development projects and to offer those tenants a right to return to a new deed-restricted affordable unit. The purpose of these requirements is to ensure that new development does not reduce affordable housing opportunities for lower-income renters and to limit displacement. </w:t>
      </w:r>
    </w:p>
    <w:p w14:paraId="5DC05A96" w14:textId="77777777" w:rsidR="00D94296" w:rsidRDefault="00D94296">
      <w:pPr>
        <w:spacing w:line="240" w:lineRule="auto"/>
        <w:rPr>
          <w:rFonts w:ascii="Calibri" w:eastAsia="Calibri" w:hAnsi="Calibri" w:cs="Calibri"/>
        </w:rPr>
      </w:pPr>
    </w:p>
    <w:p w14:paraId="37600582" w14:textId="77777777" w:rsidR="00D94296" w:rsidRDefault="00000000">
      <w:pPr>
        <w:spacing w:line="240" w:lineRule="auto"/>
        <w:rPr>
          <w:rFonts w:ascii="Calibri" w:eastAsia="Calibri" w:hAnsi="Calibri" w:cs="Calibri"/>
          <w:highlight w:val="yellow"/>
        </w:rPr>
      </w:pPr>
      <w:r>
        <w:rPr>
          <w:rFonts w:ascii="Calibri" w:eastAsia="Calibri" w:hAnsi="Calibri" w:cs="Calibri"/>
        </w:rPr>
        <w:t xml:space="preserve">While current law requires reporting of demolitions on APRs, it lacks specificity on what should be reported, making it difficult to know how many housing units are being lost to demolition each year. In addition, there is no current requirement to report on whether a development application triggers a replacement housing or relocation assistance obligation, making it difficult to know whether cities, counties, and developers are complying with these critical requirements. The law also does </w:t>
      </w:r>
      <w:proofErr w:type="gramStart"/>
      <w:r>
        <w:rPr>
          <w:rFonts w:ascii="Calibri" w:eastAsia="Calibri" w:hAnsi="Calibri" w:cs="Calibri"/>
        </w:rPr>
        <w:t>not currently</w:t>
      </w:r>
      <w:proofErr w:type="gramEnd"/>
      <w:r>
        <w:rPr>
          <w:rFonts w:ascii="Calibri" w:eastAsia="Calibri" w:hAnsi="Calibri" w:cs="Calibri"/>
        </w:rPr>
        <w:t xml:space="preserve"> clearly require reporting of housing demolished to make way for non-residential uses, such as for new commercial or industrial developments, projects that may also trigger replacement housing and relocation assistance obligations.</w:t>
      </w:r>
    </w:p>
    <w:p w14:paraId="79C01DF8" w14:textId="77777777" w:rsidR="00D94296" w:rsidRDefault="00D94296">
      <w:pPr>
        <w:spacing w:line="240" w:lineRule="auto"/>
        <w:rPr>
          <w:rFonts w:ascii="Calibri" w:eastAsia="Calibri" w:hAnsi="Calibri" w:cs="Calibri"/>
        </w:rPr>
      </w:pPr>
    </w:p>
    <w:p w14:paraId="5A4AB9D0" w14:textId="77777777" w:rsidR="00D94296" w:rsidRDefault="00000000">
      <w:pPr>
        <w:spacing w:line="240" w:lineRule="auto"/>
        <w:rPr>
          <w:rFonts w:ascii="Calibri" w:eastAsia="Calibri" w:hAnsi="Calibri" w:cs="Calibri"/>
        </w:rPr>
      </w:pPr>
      <w:r>
        <w:rPr>
          <w:rFonts w:ascii="Calibri" w:eastAsia="Calibri" w:hAnsi="Calibri" w:cs="Calibri"/>
        </w:rPr>
        <w:t>The bill will require local governments to report all demolished units on their APRs, regardless of the reason for the demolition. The APR will also include reporting on whether development project applications triggered a replacement housing or relocation assistance obligation and, if so, how replacement housing and relocation assistance requirements were met. This will generate valuable data about housing units being lost to new development and will help ensure that local governments and developers are complying with legal requirements to replace lost units as a condition of developing a new project and mitigate the impacts of displacement on individuals and families whose homes are demolished to make way for new development.</w:t>
      </w:r>
    </w:p>
    <w:p w14:paraId="7FC75107" w14:textId="77777777" w:rsidR="00D94296" w:rsidRDefault="00D94296">
      <w:pPr>
        <w:spacing w:line="240" w:lineRule="auto"/>
        <w:rPr>
          <w:rFonts w:ascii="Calibri" w:eastAsia="Calibri" w:hAnsi="Calibri" w:cs="Calibri"/>
        </w:rPr>
      </w:pPr>
    </w:p>
    <w:p w14:paraId="1C7C6C09" w14:textId="77777777" w:rsidR="00D94296" w:rsidRDefault="00000000">
      <w:pPr>
        <w:spacing w:line="240" w:lineRule="auto"/>
        <w:rPr>
          <w:rFonts w:ascii="Calibri" w:eastAsia="Calibri" w:hAnsi="Calibri" w:cs="Calibri"/>
        </w:rPr>
      </w:pPr>
      <w:r>
        <w:rPr>
          <w:rFonts w:ascii="Calibri" w:eastAsia="Calibri" w:hAnsi="Calibri" w:cs="Calibri"/>
        </w:rPr>
        <w:t xml:space="preserve">We are grateful for your leadership and partnership </w:t>
      </w:r>
      <w:proofErr w:type="gramStart"/>
      <w:r>
        <w:rPr>
          <w:rFonts w:ascii="Calibri" w:eastAsia="Calibri" w:hAnsi="Calibri" w:cs="Calibri"/>
        </w:rPr>
        <w:t>on</w:t>
      </w:r>
      <w:proofErr w:type="gramEnd"/>
      <w:r>
        <w:rPr>
          <w:rFonts w:ascii="Calibri" w:eastAsia="Calibri" w:hAnsi="Calibri" w:cs="Calibri"/>
        </w:rPr>
        <w:t xml:space="preserve"> this effort and look forward to working with you to provide Californians across the state with safe, stable, affordable homes today and for generations to come.</w:t>
      </w:r>
    </w:p>
    <w:p w14:paraId="6C495DB9" w14:textId="77777777" w:rsidR="00D94296" w:rsidRDefault="00000000">
      <w:pPr>
        <w:spacing w:line="240" w:lineRule="auto"/>
        <w:rPr>
          <w:rFonts w:ascii="Calibri" w:eastAsia="Calibri" w:hAnsi="Calibri" w:cs="Calibri"/>
        </w:rPr>
      </w:pPr>
      <w:r>
        <w:rPr>
          <w:rFonts w:ascii="Calibri" w:eastAsia="Calibri" w:hAnsi="Calibri" w:cs="Calibri"/>
        </w:rPr>
        <w:t xml:space="preserve">  </w:t>
      </w:r>
    </w:p>
    <w:p w14:paraId="559D74D9" w14:textId="77777777" w:rsidR="00D94296" w:rsidRDefault="00000000">
      <w:pPr>
        <w:spacing w:line="240" w:lineRule="auto"/>
        <w:rPr>
          <w:rFonts w:ascii="Calibri" w:eastAsia="Calibri" w:hAnsi="Calibri" w:cs="Calibri"/>
        </w:rPr>
      </w:pPr>
      <w:r>
        <w:rPr>
          <w:rFonts w:ascii="Calibri" w:eastAsia="Calibri" w:hAnsi="Calibri" w:cs="Calibri"/>
        </w:rPr>
        <w:t xml:space="preserve">Respectfully, </w:t>
      </w:r>
    </w:p>
    <w:p w14:paraId="14987F3A" w14:textId="77777777" w:rsidR="00D94296" w:rsidRDefault="00D94296">
      <w:pPr>
        <w:spacing w:line="240" w:lineRule="auto"/>
        <w:rPr>
          <w:rFonts w:ascii="Calibri" w:eastAsia="Calibri" w:hAnsi="Calibri" w:cs="Calibri"/>
        </w:rPr>
      </w:pPr>
    </w:p>
    <w:p w14:paraId="3955981B" w14:textId="77777777" w:rsidR="00D94296" w:rsidRDefault="00000000">
      <w:pPr>
        <w:spacing w:line="240" w:lineRule="auto"/>
        <w:rPr>
          <w:rFonts w:ascii="Calibri" w:eastAsia="Calibri" w:hAnsi="Calibri" w:cs="Calibri"/>
        </w:rPr>
      </w:pPr>
      <w:r>
        <w:rPr>
          <w:rFonts w:ascii="Calibri" w:eastAsia="Calibri" w:hAnsi="Calibri" w:cs="Calibri"/>
        </w:rPr>
        <w:t xml:space="preserve">Andrew Fremier, Executive Director </w:t>
      </w:r>
    </w:p>
    <w:p w14:paraId="23B91AF4" w14:textId="77777777" w:rsidR="00D94296" w:rsidRDefault="00000000">
      <w:pPr>
        <w:spacing w:line="240" w:lineRule="auto"/>
        <w:rPr>
          <w:rFonts w:ascii="Calibri" w:eastAsia="Calibri" w:hAnsi="Calibri" w:cs="Calibri"/>
        </w:rPr>
      </w:pPr>
      <w:r>
        <w:rPr>
          <w:rFonts w:ascii="Calibri" w:eastAsia="Calibri" w:hAnsi="Calibri" w:cs="Calibri"/>
        </w:rPr>
        <w:t xml:space="preserve">Association of Bay Area Governments and Metropolitan Transportation Commission </w:t>
      </w:r>
    </w:p>
    <w:p w14:paraId="0F4BBFA3" w14:textId="77777777" w:rsidR="00D94296" w:rsidRDefault="00D94296">
      <w:pPr>
        <w:spacing w:line="240" w:lineRule="auto"/>
        <w:rPr>
          <w:rFonts w:ascii="Calibri" w:eastAsia="Calibri" w:hAnsi="Calibri" w:cs="Calibri"/>
        </w:rPr>
      </w:pPr>
    </w:p>
    <w:p w14:paraId="68037E25" w14:textId="77777777" w:rsidR="00D94296" w:rsidRDefault="00000000">
      <w:pPr>
        <w:spacing w:line="240" w:lineRule="auto"/>
        <w:rPr>
          <w:rFonts w:ascii="Calibri" w:eastAsia="Calibri" w:hAnsi="Calibri" w:cs="Calibri"/>
        </w:rPr>
      </w:pPr>
      <w:r>
        <w:rPr>
          <w:rFonts w:ascii="Calibri" w:eastAsia="Calibri" w:hAnsi="Calibri" w:cs="Calibri"/>
        </w:rPr>
        <w:t>Heather Hood, Vice President</w:t>
      </w:r>
      <w:r>
        <w:rPr>
          <w:rFonts w:ascii="Calibri" w:eastAsia="Calibri" w:hAnsi="Calibri" w:cs="Calibri"/>
          <w:sz w:val="21"/>
          <w:szCs w:val="21"/>
        </w:rPr>
        <w:t xml:space="preserve"> &amp; Market Leader, Northern California </w:t>
      </w:r>
    </w:p>
    <w:p w14:paraId="690B388A" w14:textId="77777777" w:rsidR="00D94296" w:rsidRDefault="00000000">
      <w:pPr>
        <w:spacing w:line="240" w:lineRule="auto"/>
        <w:rPr>
          <w:rFonts w:ascii="Calibri" w:eastAsia="Calibri" w:hAnsi="Calibri" w:cs="Calibri"/>
        </w:rPr>
      </w:pPr>
      <w:r>
        <w:rPr>
          <w:rFonts w:ascii="Calibri" w:eastAsia="Calibri" w:hAnsi="Calibri" w:cs="Calibri"/>
        </w:rPr>
        <w:t xml:space="preserve">Jimar Wilson, Vice President </w:t>
      </w:r>
      <w:r>
        <w:rPr>
          <w:rFonts w:ascii="Calibri" w:eastAsia="Calibri" w:hAnsi="Calibri" w:cs="Calibri"/>
          <w:sz w:val="21"/>
          <w:szCs w:val="21"/>
        </w:rPr>
        <w:t>&amp; Market Leader, Southern California </w:t>
      </w:r>
    </w:p>
    <w:p w14:paraId="6E8503EF" w14:textId="77777777" w:rsidR="00D94296" w:rsidRDefault="00000000">
      <w:pPr>
        <w:spacing w:line="240" w:lineRule="auto"/>
        <w:rPr>
          <w:rFonts w:ascii="Calibri" w:eastAsia="Calibri" w:hAnsi="Calibri" w:cs="Calibri"/>
        </w:rPr>
      </w:pPr>
      <w:r>
        <w:rPr>
          <w:rFonts w:ascii="Calibri" w:eastAsia="Calibri" w:hAnsi="Calibri" w:cs="Calibri"/>
        </w:rPr>
        <w:t xml:space="preserve">Enterprise Community Partners </w:t>
      </w:r>
    </w:p>
    <w:p w14:paraId="7FF4E70D" w14:textId="77777777" w:rsidR="00D94296" w:rsidRDefault="00D94296">
      <w:pPr>
        <w:pBdr>
          <w:top w:val="nil"/>
          <w:left w:val="nil"/>
          <w:bottom w:val="nil"/>
          <w:right w:val="nil"/>
          <w:between w:val="nil"/>
        </w:pBdr>
        <w:spacing w:line="240" w:lineRule="auto"/>
        <w:rPr>
          <w:rFonts w:ascii="Calibri" w:eastAsia="Calibri" w:hAnsi="Calibri" w:cs="Calibri"/>
        </w:rPr>
      </w:pPr>
    </w:p>
    <w:p w14:paraId="7150C7E5" w14:textId="77777777" w:rsidR="00D94296" w:rsidRDefault="00000000">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Shashi Hanuman, Executive Director</w:t>
      </w:r>
    </w:p>
    <w:p w14:paraId="431184DE" w14:textId="77777777" w:rsidR="00D94296"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Public Interest Law Project</w:t>
      </w:r>
    </w:p>
    <w:p w14:paraId="05ED5CAB" w14:textId="77777777" w:rsidR="004B6D2E" w:rsidRDefault="004B6D2E">
      <w:pPr>
        <w:pBdr>
          <w:top w:val="nil"/>
          <w:left w:val="nil"/>
          <w:bottom w:val="nil"/>
          <w:right w:val="nil"/>
          <w:between w:val="nil"/>
        </w:pBdr>
        <w:spacing w:line="240" w:lineRule="auto"/>
        <w:rPr>
          <w:rFonts w:ascii="Calibri" w:eastAsia="Calibri" w:hAnsi="Calibri" w:cs="Calibri"/>
        </w:rPr>
      </w:pPr>
    </w:p>
    <w:p w14:paraId="1223090D" w14:textId="77777777" w:rsidR="00D94296" w:rsidRDefault="00000000">
      <w:pPr>
        <w:spacing w:line="240" w:lineRule="auto"/>
        <w:rPr>
          <w:rFonts w:ascii="Calibri" w:eastAsia="Calibri" w:hAnsi="Calibri" w:cs="Calibri"/>
        </w:rPr>
      </w:pPr>
      <w:r>
        <w:rPr>
          <w:rFonts w:ascii="Calibri" w:eastAsia="Calibri" w:hAnsi="Calibri" w:cs="Calibri"/>
        </w:rPr>
        <w:t>CC:</w:t>
      </w:r>
      <w:r>
        <w:rPr>
          <w:rFonts w:ascii="Calibri" w:eastAsia="Calibri" w:hAnsi="Calibri" w:cs="Calibri"/>
        </w:rPr>
        <w:tab/>
        <w:t>Members, Assembly Housing and Community Development Committee</w:t>
      </w:r>
    </w:p>
    <w:sectPr w:rsidR="00D9429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696E" w14:textId="77777777" w:rsidR="006F540A" w:rsidRDefault="006F540A">
      <w:pPr>
        <w:spacing w:line="240" w:lineRule="auto"/>
      </w:pPr>
      <w:r>
        <w:separator/>
      </w:r>
    </w:p>
  </w:endnote>
  <w:endnote w:type="continuationSeparator" w:id="0">
    <w:p w14:paraId="70AC6C11" w14:textId="77777777" w:rsidR="006F540A" w:rsidRDefault="006F5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FAA1" w14:textId="77777777" w:rsidR="006F540A" w:rsidRDefault="006F540A">
      <w:pPr>
        <w:spacing w:line="240" w:lineRule="auto"/>
      </w:pPr>
      <w:r>
        <w:separator/>
      </w:r>
    </w:p>
  </w:footnote>
  <w:footnote w:type="continuationSeparator" w:id="0">
    <w:p w14:paraId="41814E46" w14:textId="77777777" w:rsidR="006F540A" w:rsidRDefault="006F5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B15C" w14:textId="77777777" w:rsidR="00D94296" w:rsidRDefault="00D94296">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96"/>
    <w:rsid w:val="00213697"/>
    <w:rsid w:val="0042493C"/>
    <w:rsid w:val="004B6D2E"/>
    <w:rsid w:val="00592668"/>
    <w:rsid w:val="006F540A"/>
    <w:rsid w:val="007A75FA"/>
    <w:rsid w:val="00D94296"/>
    <w:rsid w:val="00DA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60AB"/>
  <w15:docId w15:val="{4037A719-B2E2-5B41-A29D-A11E29A1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McDevitt</dc:creator>
  <cp:lastModifiedBy>Clair A. McDevitt</cp:lastModifiedBy>
  <cp:revision>2</cp:revision>
  <dcterms:created xsi:type="dcterms:W3CDTF">2025-05-22T18:41:00Z</dcterms:created>
  <dcterms:modified xsi:type="dcterms:W3CDTF">2025-05-22T18:41:00Z</dcterms:modified>
</cp:coreProperties>
</file>